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6D" w:rsidRDefault="009F416D" w:rsidP="009F416D">
      <w:pPr>
        <w:spacing w:after="0" w:line="240" w:lineRule="auto"/>
      </w:pPr>
      <w:r>
        <w:rPr>
          <w:noProof/>
        </w:rPr>
        <w:drawing>
          <wp:inline distT="0" distB="0" distL="0" distR="0">
            <wp:extent cx="1325424" cy="704850"/>
            <wp:effectExtent l="19050" t="0" r="8076" b="0"/>
            <wp:docPr id="2" name="Picture 1" descr="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2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Pr="00AE6C19">
        <w:rPr>
          <w:noProof/>
        </w:rPr>
        <w:drawing>
          <wp:inline distT="0" distB="0" distL="0" distR="0">
            <wp:extent cx="1343025" cy="781050"/>
            <wp:effectExtent l="19050" t="0" r="9525" b="0"/>
            <wp:docPr id="10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:rsidR="009F416D" w:rsidRDefault="009F416D" w:rsidP="009F416D">
      <w:pPr>
        <w:tabs>
          <w:tab w:val="left" w:pos="3300"/>
        </w:tabs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AE6C19">
        <w:rPr>
          <w:rFonts w:ascii="Arial Black" w:hAnsi="Arial Black"/>
          <w:sz w:val="28"/>
          <w:szCs w:val="28"/>
        </w:rPr>
        <w:t>Govt. Law College, Ernakulam</w:t>
      </w:r>
    </w:p>
    <w:p w:rsidR="009F416D" w:rsidRDefault="009F416D" w:rsidP="009F416D">
      <w:pPr>
        <w:tabs>
          <w:tab w:val="left" w:pos="33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P.B</w:t>
      </w:r>
      <w:proofErr w:type="spellEnd"/>
      <w:r>
        <w:rPr>
          <w:rFonts w:ascii="Arial" w:hAnsi="Arial" w:cs="Arial"/>
          <w:sz w:val="20"/>
          <w:szCs w:val="20"/>
        </w:rPr>
        <w:t xml:space="preserve"> No: 1053 Park Aven</w:t>
      </w:r>
      <w:r w:rsidRPr="00AE6C19">
        <w:rPr>
          <w:rFonts w:ascii="Arial" w:hAnsi="Arial" w:cs="Arial"/>
          <w:sz w:val="20"/>
          <w:szCs w:val="20"/>
        </w:rPr>
        <w:t xml:space="preserve">ue, Ernakulam, Kochi-682011, </w:t>
      </w:r>
      <w:proofErr w:type="gramStart"/>
      <w:r w:rsidRPr="00AE6C19">
        <w:rPr>
          <w:rFonts w:ascii="Arial" w:hAnsi="Arial" w:cs="Arial"/>
          <w:sz w:val="20"/>
          <w:szCs w:val="20"/>
        </w:rPr>
        <w:t>Phone</w:t>
      </w:r>
      <w:proofErr w:type="gramEnd"/>
      <w:r w:rsidRPr="00AE6C19">
        <w:rPr>
          <w:rFonts w:ascii="Arial" w:hAnsi="Arial" w:cs="Arial"/>
          <w:sz w:val="20"/>
          <w:szCs w:val="20"/>
        </w:rPr>
        <w:t>: 0484-2352020, 2353915</w:t>
      </w:r>
    </w:p>
    <w:p w:rsidR="009F416D" w:rsidRDefault="009F416D" w:rsidP="009F416D">
      <w:pPr>
        <w:pStyle w:val="NoSpacing"/>
        <w:pBdr>
          <w:bottom w:val="single" w:sz="6" w:space="1" w:color="auto"/>
        </w:pBdr>
        <w:jc w:val="center"/>
        <w:rPr>
          <w:rFonts w:cs="DilleniaUPC"/>
          <w:sz w:val="20"/>
          <w:szCs w:val="20"/>
        </w:rPr>
      </w:pPr>
      <w:r w:rsidRPr="00125DBF">
        <w:rPr>
          <w:rFonts w:cs="DilleniaUPC"/>
          <w:sz w:val="20"/>
          <w:szCs w:val="20"/>
        </w:rPr>
        <w:t xml:space="preserve">Email: </w:t>
      </w:r>
      <w:hyperlink r:id="rId8" w:history="1">
        <w:r w:rsidRPr="00125DBF">
          <w:rPr>
            <w:rFonts w:cs="DilleniaUPC"/>
            <w:sz w:val="20"/>
            <w:szCs w:val="20"/>
          </w:rPr>
          <w:t>glcekm@hotmail.com</w:t>
        </w:r>
      </w:hyperlink>
      <w:r>
        <w:t xml:space="preserve"> </w:t>
      </w:r>
      <w:r w:rsidRPr="00125DBF">
        <w:rPr>
          <w:rFonts w:cs="DilleniaUPC"/>
          <w:sz w:val="20"/>
          <w:szCs w:val="20"/>
        </w:rPr>
        <w:t xml:space="preserve">Website: </w:t>
      </w:r>
      <w:hyperlink r:id="rId9" w:history="1">
        <w:r w:rsidRPr="00A362E8">
          <w:rPr>
            <w:rStyle w:val="Hyperlink"/>
            <w:rFonts w:cs="DilleniaUPC"/>
            <w:sz w:val="20"/>
            <w:szCs w:val="20"/>
          </w:rPr>
          <w:t>www.glcekm.com</w:t>
        </w:r>
      </w:hyperlink>
    </w:p>
    <w:p w:rsidR="009F416D" w:rsidRPr="007B79E1" w:rsidRDefault="009F416D" w:rsidP="009F416D">
      <w:pPr>
        <w:ind w:right="142"/>
        <w:rPr>
          <w:rFonts w:ascii="Arial" w:hAnsi="Arial" w:cs="Arial"/>
          <w:b/>
        </w:rPr>
      </w:pPr>
      <w:r w:rsidRPr="007B79E1">
        <w:rPr>
          <w:rFonts w:ascii="Arial" w:hAnsi="Arial" w:cs="Arial"/>
          <w:b/>
        </w:rPr>
        <w:t xml:space="preserve">No.A1/PLAN/2019                                                            </w:t>
      </w:r>
      <w:r w:rsidRPr="007B79E1">
        <w:rPr>
          <w:rFonts w:ascii="Arial" w:hAnsi="Arial" w:cs="Arial"/>
          <w:b/>
        </w:rPr>
        <w:tab/>
      </w:r>
      <w:r w:rsidRPr="007B79E1">
        <w:rPr>
          <w:rFonts w:ascii="Arial" w:hAnsi="Arial" w:cs="Arial"/>
          <w:b/>
        </w:rPr>
        <w:tab/>
        <w:t xml:space="preserve"> </w:t>
      </w:r>
      <w:r w:rsidRPr="007B79E1">
        <w:rPr>
          <w:rFonts w:ascii="Arial" w:hAnsi="Arial" w:cs="Arial"/>
          <w:b/>
        </w:rPr>
        <w:tab/>
        <w:t xml:space="preserve"> Dated</w:t>
      </w:r>
      <w:proofErr w:type="gramStart"/>
      <w:r w:rsidRPr="007B79E1">
        <w:rPr>
          <w:rFonts w:ascii="Arial" w:hAnsi="Arial" w:cs="Arial"/>
          <w:b/>
        </w:rPr>
        <w:t>:-</w:t>
      </w:r>
      <w:proofErr w:type="gramEnd"/>
      <w:r w:rsidRPr="007B79E1">
        <w:rPr>
          <w:rFonts w:ascii="Arial" w:hAnsi="Arial" w:cs="Arial"/>
          <w:b/>
        </w:rPr>
        <w:t xml:space="preserve"> 09/01/2019</w:t>
      </w:r>
    </w:p>
    <w:p w:rsidR="009F416D" w:rsidRPr="007B79E1" w:rsidRDefault="009F416D" w:rsidP="009F416D">
      <w:pPr>
        <w:ind w:right="142"/>
        <w:rPr>
          <w:rFonts w:ascii="Arial" w:hAnsi="Arial" w:cs="Arial"/>
          <w:b/>
        </w:rPr>
      </w:pPr>
    </w:p>
    <w:p w:rsidR="009F416D" w:rsidRPr="000057C7" w:rsidRDefault="009F416D" w:rsidP="009F41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>To,</w:t>
      </w:r>
    </w:p>
    <w:p w:rsidR="009F416D" w:rsidRPr="000057C7" w:rsidRDefault="009F416D" w:rsidP="009F416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>The Principal Secretary to Government</w:t>
      </w:r>
    </w:p>
    <w:p w:rsidR="009F416D" w:rsidRPr="000057C7" w:rsidRDefault="009F416D" w:rsidP="009F41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ab/>
        <w:t xml:space="preserve">Higher </w:t>
      </w:r>
      <w:proofErr w:type="gramStart"/>
      <w:r w:rsidRPr="000057C7">
        <w:rPr>
          <w:rFonts w:ascii="Arial Narrow" w:hAnsi="Arial Narrow" w:cs="Arial"/>
          <w:sz w:val="24"/>
          <w:szCs w:val="24"/>
        </w:rPr>
        <w:t>Education  (</w:t>
      </w:r>
      <w:proofErr w:type="gramEnd"/>
      <w:r w:rsidRPr="000057C7">
        <w:rPr>
          <w:rFonts w:ascii="Arial Narrow" w:hAnsi="Arial Narrow" w:cs="Arial"/>
          <w:sz w:val="24"/>
          <w:szCs w:val="24"/>
        </w:rPr>
        <w:t>C) Department</w:t>
      </w:r>
    </w:p>
    <w:p w:rsidR="009F416D" w:rsidRPr="000057C7" w:rsidRDefault="009F416D" w:rsidP="009F41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ab/>
        <w:t xml:space="preserve">Government Secretariat </w:t>
      </w:r>
    </w:p>
    <w:p w:rsidR="009F416D" w:rsidRPr="000057C7" w:rsidRDefault="009F416D" w:rsidP="009F41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ab/>
      </w:r>
      <w:proofErr w:type="spellStart"/>
      <w:r w:rsidRPr="000057C7">
        <w:rPr>
          <w:rFonts w:ascii="Arial Narrow" w:hAnsi="Arial Narrow" w:cs="Arial"/>
          <w:sz w:val="24"/>
          <w:szCs w:val="24"/>
        </w:rPr>
        <w:t>Thiruvanthapuram</w:t>
      </w:r>
      <w:proofErr w:type="spellEnd"/>
      <w:r w:rsidRPr="000057C7">
        <w:rPr>
          <w:rFonts w:ascii="Arial Narrow" w:hAnsi="Arial Narrow" w:cs="Arial"/>
          <w:sz w:val="24"/>
          <w:szCs w:val="24"/>
        </w:rPr>
        <w:t xml:space="preserve"> </w:t>
      </w:r>
    </w:p>
    <w:p w:rsidR="009F416D" w:rsidRPr="000057C7" w:rsidRDefault="009F416D" w:rsidP="009F416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F416D" w:rsidRPr="000057C7" w:rsidRDefault="009F416D" w:rsidP="009F416D">
      <w:pPr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>Sir,</w:t>
      </w:r>
    </w:p>
    <w:p w:rsidR="009F416D" w:rsidRPr="000057C7" w:rsidRDefault="009F416D" w:rsidP="009F416D">
      <w:pPr>
        <w:spacing w:after="0" w:line="360" w:lineRule="auto"/>
        <w:ind w:left="720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b/>
          <w:sz w:val="24"/>
          <w:szCs w:val="24"/>
        </w:rPr>
        <w:t>Sub</w:t>
      </w:r>
      <w:proofErr w:type="gramStart"/>
      <w:r w:rsidRPr="000057C7">
        <w:rPr>
          <w:rFonts w:ascii="Arial Narrow" w:hAnsi="Arial Narrow" w:cs="Arial"/>
          <w:sz w:val="24"/>
          <w:szCs w:val="24"/>
        </w:rPr>
        <w:t>:-</w:t>
      </w:r>
      <w:proofErr w:type="gramEnd"/>
      <w:r w:rsidRPr="000057C7">
        <w:rPr>
          <w:rFonts w:ascii="Arial Narrow" w:hAnsi="Arial Narrow" w:cs="Arial"/>
          <w:sz w:val="24"/>
          <w:szCs w:val="24"/>
        </w:rPr>
        <w:t xml:space="preserve"> Govt. Law College, Ernakulam – Annual Plan 2019-2020– Expenditure report forwarding- </w:t>
      </w:r>
      <w:proofErr w:type="spellStart"/>
      <w:r w:rsidRPr="000057C7">
        <w:rPr>
          <w:rFonts w:ascii="Arial Narrow" w:hAnsi="Arial Narrow" w:cs="Arial"/>
          <w:sz w:val="24"/>
          <w:szCs w:val="24"/>
        </w:rPr>
        <w:t>reg</w:t>
      </w:r>
      <w:proofErr w:type="spellEnd"/>
      <w:r w:rsidRPr="000057C7">
        <w:rPr>
          <w:rFonts w:ascii="Arial Narrow" w:hAnsi="Arial Narrow" w:cs="Arial"/>
          <w:sz w:val="24"/>
          <w:szCs w:val="24"/>
        </w:rPr>
        <w:t>:-</w:t>
      </w:r>
    </w:p>
    <w:p w:rsidR="007B79E1" w:rsidRPr="000057C7" w:rsidRDefault="009F416D" w:rsidP="007B79E1">
      <w:pPr>
        <w:spacing w:after="0"/>
        <w:ind w:left="720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b/>
          <w:sz w:val="24"/>
          <w:szCs w:val="24"/>
        </w:rPr>
        <w:t>Ref</w:t>
      </w:r>
      <w:proofErr w:type="gramStart"/>
      <w:r w:rsidRPr="000057C7">
        <w:rPr>
          <w:rFonts w:ascii="Arial Narrow" w:hAnsi="Arial Narrow" w:cs="Arial"/>
          <w:sz w:val="24"/>
          <w:szCs w:val="24"/>
        </w:rPr>
        <w:t>:-</w:t>
      </w:r>
      <w:proofErr w:type="gramEnd"/>
      <w:r w:rsidRPr="000057C7">
        <w:rPr>
          <w:rFonts w:ascii="Arial Narrow" w:hAnsi="Arial Narrow" w:cs="Arial"/>
          <w:sz w:val="24"/>
          <w:szCs w:val="24"/>
        </w:rPr>
        <w:t xml:space="preserve">   1. </w:t>
      </w:r>
      <w:r w:rsidR="007B79E1" w:rsidRPr="000057C7">
        <w:rPr>
          <w:rFonts w:ascii="Arial Narrow" w:hAnsi="Arial Narrow" w:cs="Arial"/>
          <w:sz w:val="24"/>
          <w:szCs w:val="24"/>
        </w:rPr>
        <w:t>State Budget Estimate 2019- 2020.</w:t>
      </w:r>
    </w:p>
    <w:p w:rsidR="009F416D" w:rsidRPr="000057C7" w:rsidRDefault="007B79E1" w:rsidP="007B79E1">
      <w:pPr>
        <w:spacing w:after="0"/>
        <w:ind w:left="720" w:firstLine="720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 xml:space="preserve">2. Administrative sanction order for utilization of Plan Fund </w:t>
      </w:r>
      <w:proofErr w:type="spellStart"/>
      <w:r w:rsidR="009F416D" w:rsidRPr="000057C7">
        <w:rPr>
          <w:rFonts w:ascii="Arial Narrow" w:hAnsi="Arial Narrow" w:cs="Arial"/>
          <w:sz w:val="24"/>
          <w:szCs w:val="24"/>
        </w:rPr>
        <w:t>G.O</w:t>
      </w:r>
      <w:proofErr w:type="spellEnd"/>
      <w:r w:rsidR="009F416D" w:rsidRPr="000057C7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proofErr w:type="gramStart"/>
      <w:r w:rsidR="009F416D" w:rsidRPr="000057C7">
        <w:rPr>
          <w:rFonts w:ascii="Arial Narrow" w:hAnsi="Arial Narrow" w:cs="Arial"/>
          <w:sz w:val="24"/>
          <w:szCs w:val="24"/>
        </w:rPr>
        <w:t>Rt</w:t>
      </w:r>
      <w:proofErr w:type="spellEnd"/>
      <w:proofErr w:type="gramEnd"/>
      <w:r w:rsidR="009F416D" w:rsidRPr="000057C7">
        <w:rPr>
          <w:rFonts w:ascii="Arial Narrow" w:hAnsi="Arial Narrow" w:cs="Arial"/>
          <w:sz w:val="24"/>
          <w:szCs w:val="24"/>
        </w:rPr>
        <w:t xml:space="preserve">) No. </w:t>
      </w:r>
      <w:r w:rsidRPr="000057C7">
        <w:rPr>
          <w:rFonts w:ascii="Arial Narrow" w:hAnsi="Arial Narrow" w:cs="Arial"/>
          <w:sz w:val="24"/>
          <w:szCs w:val="24"/>
        </w:rPr>
        <w:tab/>
      </w:r>
      <w:proofErr w:type="gramStart"/>
      <w:r w:rsidR="009F416D" w:rsidRPr="000057C7">
        <w:rPr>
          <w:rFonts w:ascii="Arial Narrow" w:hAnsi="Arial Narrow" w:cs="Arial"/>
          <w:sz w:val="24"/>
          <w:szCs w:val="24"/>
        </w:rPr>
        <w:t xml:space="preserve">976/2019/ </w:t>
      </w:r>
      <w:proofErr w:type="spellStart"/>
      <w:r w:rsidR="009F416D" w:rsidRPr="000057C7">
        <w:rPr>
          <w:rFonts w:ascii="Arial Narrow" w:hAnsi="Arial Narrow" w:cs="Arial"/>
          <w:sz w:val="24"/>
          <w:szCs w:val="24"/>
        </w:rPr>
        <w:t>H.Edn</w:t>
      </w:r>
      <w:proofErr w:type="spellEnd"/>
      <w:r w:rsidR="009F416D" w:rsidRPr="000057C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F416D" w:rsidRPr="000057C7">
        <w:rPr>
          <w:rFonts w:ascii="Arial Narrow" w:hAnsi="Arial Narrow" w:cs="Arial"/>
          <w:sz w:val="24"/>
          <w:szCs w:val="24"/>
        </w:rPr>
        <w:t>dtd</w:t>
      </w:r>
      <w:proofErr w:type="spellEnd"/>
      <w:r w:rsidR="009F416D" w:rsidRPr="000057C7">
        <w:rPr>
          <w:rFonts w:ascii="Arial Narrow" w:hAnsi="Arial Narrow" w:cs="Arial"/>
          <w:sz w:val="24"/>
          <w:szCs w:val="24"/>
        </w:rPr>
        <w:t xml:space="preserve"> 15-06-2019.</w:t>
      </w:r>
      <w:proofErr w:type="gramEnd"/>
    </w:p>
    <w:p w:rsidR="009F416D" w:rsidRPr="000057C7" w:rsidRDefault="009F416D" w:rsidP="007B79E1">
      <w:pPr>
        <w:spacing w:after="0"/>
        <w:ind w:left="1440"/>
        <w:rPr>
          <w:rFonts w:ascii="Arial Narrow" w:hAnsi="Arial Narrow" w:cs="Arial"/>
          <w:sz w:val="24"/>
          <w:szCs w:val="24"/>
        </w:rPr>
      </w:pPr>
      <w:r w:rsidRPr="000057C7">
        <w:rPr>
          <w:rFonts w:ascii="Arial Narrow" w:hAnsi="Arial Narrow" w:cs="Arial"/>
          <w:sz w:val="24"/>
          <w:szCs w:val="24"/>
        </w:rPr>
        <w:t xml:space="preserve">2. </w:t>
      </w:r>
      <w:r w:rsidR="007B79E1" w:rsidRPr="000057C7">
        <w:rPr>
          <w:rFonts w:ascii="Arial Narrow" w:hAnsi="Arial Narrow" w:cs="Arial"/>
          <w:sz w:val="24"/>
          <w:szCs w:val="24"/>
        </w:rPr>
        <w:t xml:space="preserve">Administrative sanction order for utilization of Plan Fund </w:t>
      </w:r>
      <w:proofErr w:type="spellStart"/>
      <w:r w:rsidRPr="000057C7">
        <w:rPr>
          <w:rFonts w:ascii="Arial Narrow" w:hAnsi="Arial Narrow" w:cs="Arial"/>
          <w:sz w:val="24"/>
          <w:szCs w:val="24"/>
        </w:rPr>
        <w:t>G.O</w:t>
      </w:r>
      <w:proofErr w:type="spellEnd"/>
      <w:r w:rsidRPr="000057C7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proofErr w:type="gramStart"/>
      <w:r w:rsidRPr="000057C7">
        <w:rPr>
          <w:rFonts w:ascii="Arial Narrow" w:hAnsi="Arial Narrow" w:cs="Arial"/>
          <w:sz w:val="24"/>
          <w:szCs w:val="24"/>
        </w:rPr>
        <w:t>Rt</w:t>
      </w:r>
      <w:proofErr w:type="spellEnd"/>
      <w:proofErr w:type="gramEnd"/>
      <w:r w:rsidRPr="000057C7">
        <w:rPr>
          <w:rFonts w:ascii="Arial Narrow" w:hAnsi="Arial Narrow" w:cs="Arial"/>
          <w:sz w:val="24"/>
          <w:szCs w:val="24"/>
        </w:rPr>
        <w:t>) No. 1202/2019/</w:t>
      </w:r>
      <w:proofErr w:type="spellStart"/>
      <w:r w:rsidRPr="000057C7">
        <w:rPr>
          <w:rFonts w:ascii="Arial Narrow" w:hAnsi="Arial Narrow" w:cs="Arial"/>
          <w:sz w:val="24"/>
          <w:szCs w:val="24"/>
        </w:rPr>
        <w:t>H.Edn</w:t>
      </w:r>
      <w:proofErr w:type="spellEnd"/>
      <w:r w:rsidRPr="000057C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057C7">
        <w:rPr>
          <w:rFonts w:ascii="Arial Narrow" w:hAnsi="Arial Narrow" w:cs="Arial"/>
          <w:sz w:val="24"/>
          <w:szCs w:val="24"/>
        </w:rPr>
        <w:t>dtd</w:t>
      </w:r>
      <w:proofErr w:type="spellEnd"/>
      <w:r w:rsidRPr="000057C7">
        <w:rPr>
          <w:rFonts w:ascii="Arial Narrow" w:hAnsi="Arial Narrow" w:cs="Arial"/>
          <w:sz w:val="24"/>
          <w:szCs w:val="24"/>
        </w:rPr>
        <w:t xml:space="preserve"> 16-07-2019</w:t>
      </w:r>
    </w:p>
    <w:p w:rsidR="009F416D" w:rsidRPr="000057C7" w:rsidRDefault="009F416D" w:rsidP="009F416D">
      <w:pPr>
        <w:ind w:right="142"/>
        <w:rPr>
          <w:rFonts w:ascii="Arial Narrow" w:hAnsi="Arial Narrow" w:cs="Arial"/>
          <w:b/>
        </w:rPr>
      </w:pPr>
    </w:p>
    <w:p w:rsidR="00FB57EF" w:rsidRPr="000057C7" w:rsidRDefault="007B79E1" w:rsidP="007B79E1">
      <w:pPr>
        <w:jc w:val="both"/>
        <w:rPr>
          <w:rFonts w:ascii="Arial Narrow" w:hAnsi="Arial Narrow" w:cs="Arial"/>
        </w:rPr>
      </w:pPr>
      <w:r w:rsidRPr="000057C7">
        <w:rPr>
          <w:rFonts w:ascii="Arial Narrow" w:hAnsi="Arial Narrow" w:cs="Arial"/>
        </w:rPr>
        <w:t>AS per the reference letter 1</w:t>
      </w:r>
      <w:r w:rsidRPr="000057C7">
        <w:rPr>
          <w:rFonts w:ascii="Arial Narrow" w:hAnsi="Arial Narrow" w:cs="Arial"/>
          <w:vertAlign w:val="superscript"/>
        </w:rPr>
        <w:t>st</w:t>
      </w:r>
      <w:r w:rsidRPr="000057C7">
        <w:rPr>
          <w:rFonts w:ascii="Arial Narrow" w:hAnsi="Arial Narrow" w:cs="Arial"/>
        </w:rPr>
        <w:t xml:space="preserve"> cited above, an amount of </w:t>
      </w:r>
      <w:proofErr w:type="spellStart"/>
      <w:r w:rsidRPr="000057C7">
        <w:rPr>
          <w:rFonts w:ascii="Arial Narrow" w:hAnsi="Arial Narrow" w:cs="Arial"/>
        </w:rPr>
        <w:t>Rs</w:t>
      </w:r>
      <w:proofErr w:type="spellEnd"/>
      <w:r w:rsidRPr="000057C7">
        <w:rPr>
          <w:rFonts w:ascii="Arial Narrow" w:hAnsi="Arial Narrow" w:cs="Arial"/>
        </w:rPr>
        <w:t xml:space="preserve"> 125 </w:t>
      </w:r>
      <w:proofErr w:type="spellStart"/>
      <w:r w:rsidRPr="000057C7">
        <w:rPr>
          <w:rFonts w:ascii="Arial Narrow" w:hAnsi="Arial Narrow" w:cs="Arial"/>
        </w:rPr>
        <w:t>Lakhs</w:t>
      </w:r>
      <w:proofErr w:type="spellEnd"/>
      <w:r w:rsidRPr="000057C7">
        <w:rPr>
          <w:rFonts w:ascii="Arial Narrow" w:hAnsi="Arial Narrow" w:cs="Arial"/>
        </w:rPr>
        <w:t xml:space="preserve"> was sanctioned as Plan fund for Govt. Law College, Ernakulam.  As per the reference letter 2</w:t>
      </w:r>
      <w:r w:rsidRPr="000057C7">
        <w:rPr>
          <w:rFonts w:ascii="Arial Narrow" w:hAnsi="Arial Narrow" w:cs="Arial"/>
          <w:vertAlign w:val="superscript"/>
        </w:rPr>
        <w:t>nd</w:t>
      </w:r>
      <w:r w:rsidRPr="000057C7">
        <w:rPr>
          <w:rFonts w:ascii="Arial Narrow" w:hAnsi="Arial Narrow" w:cs="Arial"/>
        </w:rPr>
        <w:t xml:space="preserve"> and 3</w:t>
      </w:r>
      <w:r w:rsidRPr="000057C7">
        <w:rPr>
          <w:rFonts w:ascii="Arial Narrow" w:hAnsi="Arial Narrow" w:cs="Arial"/>
          <w:vertAlign w:val="superscript"/>
        </w:rPr>
        <w:t>rd</w:t>
      </w:r>
      <w:r w:rsidRPr="000057C7">
        <w:rPr>
          <w:rFonts w:ascii="Arial Narrow" w:hAnsi="Arial Narrow" w:cs="Arial"/>
        </w:rPr>
        <w:t xml:space="preserve"> cited above, The Higher Education Department has issued administrative sanction order for utilization of plan fund as follows. </w:t>
      </w:r>
    </w:p>
    <w:tbl>
      <w:tblPr>
        <w:tblStyle w:val="TableGrid"/>
        <w:tblW w:w="0" w:type="auto"/>
        <w:tblLook w:val="04A0"/>
      </w:tblPr>
      <w:tblGrid>
        <w:gridCol w:w="918"/>
        <w:gridCol w:w="7110"/>
        <w:gridCol w:w="1548"/>
      </w:tblGrid>
      <w:tr w:rsidR="007B79E1" w:rsidRPr="007B79E1" w:rsidTr="007B79E1">
        <w:tc>
          <w:tcPr>
            <w:tcW w:w="918" w:type="dxa"/>
          </w:tcPr>
          <w:p w:rsidR="007B79E1" w:rsidRPr="000057C7" w:rsidRDefault="007B79E1">
            <w:pPr>
              <w:rPr>
                <w:rFonts w:ascii="Arial Narrow" w:hAnsi="Arial Narrow" w:cs="Arial"/>
                <w:b/>
              </w:rPr>
            </w:pPr>
            <w:r w:rsidRPr="000057C7">
              <w:rPr>
                <w:rFonts w:ascii="Arial Narrow" w:hAnsi="Arial Narrow" w:cs="Arial"/>
                <w:b/>
              </w:rPr>
              <w:t>Sl. No.</w:t>
            </w:r>
          </w:p>
        </w:tc>
        <w:tc>
          <w:tcPr>
            <w:tcW w:w="7110" w:type="dxa"/>
          </w:tcPr>
          <w:p w:rsidR="007B79E1" w:rsidRPr="000057C7" w:rsidRDefault="007B79E1">
            <w:pPr>
              <w:rPr>
                <w:rFonts w:ascii="Arial Narrow" w:hAnsi="Arial Narrow" w:cs="Arial"/>
                <w:b/>
              </w:rPr>
            </w:pPr>
            <w:r w:rsidRPr="000057C7">
              <w:rPr>
                <w:rFonts w:ascii="Arial Narrow" w:hAnsi="Arial Narrow" w:cs="Arial"/>
                <w:b/>
              </w:rPr>
              <w:t>Name of Scheme</w:t>
            </w:r>
          </w:p>
        </w:tc>
        <w:tc>
          <w:tcPr>
            <w:tcW w:w="1548" w:type="dxa"/>
          </w:tcPr>
          <w:p w:rsidR="007B79E1" w:rsidRPr="000057C7" w:rsidRDefault="007B79E1">
            <w:pPr>
              <w:rPr>
                <w:rFonts w:ascii="Arial Narrow" w:hAnsi="Arial Narrow" w:cs="Arial"/>
                <w:b/>
              </w:rPr>
            </w:pPr>
            <w:r w:rsidRPr="000057C7">
              <w:rPr>
                <w:rFonts w:ascii="Arial Narrow" w:hAnsi="Arial Narrow" w:cs="Arial"/>
                <w:b/>
              </w:rPr>
              <w:t>Amount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ind w:right="284"/>
              <w:jc w:val="both"/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Purchase of Books, </w:t>
            </w:r>
            <w:proofErr w:type="spellStart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updation</w:t>
            </w:r>
            <w:proofErr w:type="spellEnd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 and Journals in sets, Online and Storage Databases &amp; series of journals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20.2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2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jc w:val="both"/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Academic Activities including conduct of National and International Seminars and Workshops, National Trial Advocacy Competition, </w:t>
            </w:r>
            <w:proofErr w:type="spellStart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Adalats</w:t>
            </w:r>
            <w:proofErr w:type="spellEnd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, National Moot Court Competition and Moot Orientation Workshop, Research Centre Activities, Client Counseling Competition, Publishing pending editions of Regal Law Journal, </w:t>
            </w:r>
            <w:proofErr w:type="spellStart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News letters</w:t>
            </w:r>
            <w:proofErr w:type="spellEnd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 and Annual Reports, Career Development &amp; Placement Cell Activities and also for the functioning of various </w:t>
            </w:r>
            <w:proofErr w:type="spellStart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Centres</w:t>
            </w:r>
            <w:proofErr w:type="spellEnd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 in the College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12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3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ind w:right="284"/>
              <w:jc w:val="both"/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Construction and Annual maintenance of Buildings and amenities of buildings in College and Hostel (Civil and electrical works) including purchase of electrical consumable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11.5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jc w:val="both"/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Purchase/Repair of Furniture, Educational aids for College and Hostels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3L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5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jc w:val="both"/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Purchase</w:t>
            </w:r>
            <w:proofErr w:type="gramStart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  &amp;</w:t>
            </w:r>
            <w:proofErr w:type="gramEnd"/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 Maintenance of Electronic Equipments &amp; gadgets, Annual Maintenance Contract for Electronic equipments and allied items</w:t>
            </w: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9.5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6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jc w:val="both"/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Renewal of Broadband connection activity and enhancement of capacity</w:t>
            </w: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6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7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Centre for Criminal law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2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8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Centre for Law Governance and Policy Studies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4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9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Centre for Medical Law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 xml:space="preserve">4 L 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10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>Campus cleaning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>3.8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11</w:t>
            </w:r>
          </w:p>
        </w:tc>
        <w:tc>
          <w:tcPr>
            <w:tcW w:w="7110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057C7">
              <w:rPr>
                <w:rFonts w:ascii="Arial Narrow" w:eastAsia="Times New Roman" w:hAnsi="Arial Narrow" w:cs="Arial"/>
                <w:sz w:val="24"/>
                <w:szCs w:val="24"/>
              </w:rPr>
              <w:t xml:space="preserve">To meet unforeseen expenditures 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</w:rPr>
              <w:t xml:space="preserve"> 2 L</w:t>
            </w: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</w:p>
        </w:tc>
        <w:tc>
          <w:tcPr>
            <w:tcW w:w="7110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</w:p>
        </w:tc>
      </w:tr>
      <w:tr w:rsidR="007B79E1" w:rsidRPr="007B79E1" w:rsidTr="007B79E1">
        <w:tc>
          <w:tcPr>
            <w:tcW w:w="918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</w:p>
        </w:tc>
        <w:tc>
          <w:tcPr>
            <w:tcW w:w="7110" w:type="dxa"/>
          </w:tcPr>
          <w:p w:rsidR="007B79E1" w:rsidRPr="000057C7" w:rsidRDefault="007B79E1" w:rsidP="007B79E1">
            <w:pPr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548" w:type="dxa"/>
            <w:vAlign w:val="center"/>
          </w:tcPr>
          <w:p w:rsidR="007B79E1" w:rsidRPr="000057C7" w:rsidRDefault="007B79E1" w:rsidP="007B79E1">
            <w:pPr>
              <w:rPr>
                <w:rFonts w:ascii="Arial Narrow" w:eastAsia="Times New Roman" w:hAnsi="Arial Narrow" w:cs="Arial"/>
              </w:rPr>
            </w:pPr>
            <w:r w:rsidRPr="000057C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78 </w:t>
            </w:r>
            <w:proofErr w:type="spellStart"/>
            <w:r w:rsidRPr="000057C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lakhs</w:t>
            </w:r>
            <w:proofErr w:type="spellEnd"/>
          </w:p>
        </w:tc>
      </w:tr>
    </w:tbl>
    <w:p w:rsidR="007B79E1" w:rsidRDefault="007B79E1">
      <w:pPr>
        <w:rPr>
          <w:rFonts w:ascii="Arial" w:hAnsi="Arial" w:cs="Arial"/>
        </w:rPr>
      </w:pPr>
    </w:p>
    <w:p w:rsidR="007B79E1" w:rsidRDefault="0096291E" w:rsidP="0096291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amount of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 </w:t>
      </w:r>
      <w:r w:rsidRPr="0096291E">
        <w:rPr>
          <w:rFonts w:ascii="Arial" w:hAnsi="Arial" w:cs="Arial"/>
          <w:b/>
        </w:rPr>
        <w:t>49</w:t>
      </w:r>
      <w:proofErr w:type="gramStart"/>
      <w:r w:rsidRPr="0096291E">
        <w:rPr>
          <w:rFonts w:ascii="Arial" w:hAnsi="Arial" w:cs="Arial"/>
          <w:b/>
        </w:rPr>
        <w:t>,58,307</w:t>
      </w:r>
      <w:proofErr w:type="gramEnd"/>
      <w:r>
        <w:rPr>
          <w:rFonts w:ascii="Arial" w:hAnsi="Arial" w:cs="Arial"/>
        </w:rPr>
        <w:t xml:space="preserve">/- ( Rupees Forty Nine </w:t>
      </w:r>
      <w:proofErr w:type="spellStart"/>
      <w:r>
        <w:rPr>
          <w:rFonts w:ascii="Arial" w:hAnsi="Arial" w:cs="Arial"/>
        </w:rPr>
        <w:t>Lakhs</w:t>
      </w:r>
      <w:proofErr w:type="spellEnd"/>
      <w:r>
        <w:rPr>
          <w:rFonts w:ascii="Arial" w:hAnsi="Arial" w:cs="Arial"/>
        </w:rPr>
        <w:t xml:space="preserve"> fifty eight thousand three hundred and seven only)  was utilized from this year’s Plan Fund allotment to clear the previous year’s plan fund bills which were in queue. </w:t>
      </w:r>
    </w:p>
    <w:p w:rsidR="0096291E" w:rsidRDefault="0096291E" w:rsidP="0096291E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8995" w:type="dxa"/>
        <w:tblInd w:w="720" w:type="dxa"/>
        <w:tblLook w:val="04A0"/>
      </w:tblPr>
      <w:tblGrid>
        <w:gridCol w:w="1217"/>
        <w:gridCol w:w="2576"/>
        <w:gridCol w:w="1927"/>
        <w:gridCol w:w="1757"/>
        <w:gridCol w:w="1518"/>
      </w:tblGrid>
      <w:tr w:rsidR="000057C7" w:rsidTr="00173127">
        <w:trPr>
          <w:trHeight w:val="341"/>
        </w:trPr>
        <w:tc>
          <w:tcPr>
            <w:tcW w:w="8994" w:type="dxa"/>
            <w:gridSpan w:val="5"/>
            <w:vAlign w:val="center"/>
          </w:tcPr>
          <w:p w:rsidR="000057C7" w:rsidRPr="00A118F8" w:rsidRDefault="000057C7" w:rsidP="00A118F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118F8">
              <w:rPr>
                <w:rFonts w:ascii="Arial" w:hAnsi="Arial" w:cs="Arial"/>
                <w:b/>
              </w:rPr>
              <w:t>EXPENDITURE REPORT 2019-2020</w:t>
            </w:r>
          </w:p>
        </w:tc>
      </w:tr>
      <w:tr w:rsidR="00A118F8" w:rsidTr="00173127">
        <w:trPr>
          <w:trHeight w:val="681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proofErr w:type="spellStart"/>
            <w:r w:rsidRPr="000057C7">
              <w:rPr>
                <w:rFonts w:ascii="Arial Narrow" w:hAnsi="Arial Narrow" w:cs="Arial"/>
                <w:b/>
              </w:rPr>
              <w:t>Sl.No</w:t>
            </w:r>
            <w:proofErr w:type="spellEnd"/>
            <w:r w:rsidRPr="000057C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057C7">
              <w:rPr>
                <w:rFonts w:ascii="Arial Narrow" w:hAnsi="Arial Narrow" w:cs="Arial"/>
                <w:b/>
              </w:rPr>
              <w:t>Name of Scheme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057C7">
              <w:rPr>
                <w:rFonts w:ascii="Arial Narrow" w:hAnsi="Arial Narrow" w:cs="Arial"/>
                <w:b/>
              </w:rPr>
              <w:t xml:space="preserve">Sanctioned Amount </w:t>
            </w:r>
          </w:p>
        </w:tc>
        <w:tc>
          <w:tcPr>
            <w:tcW w:w="175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057C7">
              <w:rPr>
                <w:rFonts w:ascii="Arial Narrow" w:hAnsi="Arial Narrow" w:cs="Arial"/>
                <w:b/>
              </w:rPr>
              <w:t>Utilized Amount</w:t>
            </w:r>
          </w:p>
        </w:tc>
        <w:tc>
          <w:tcPr>
            <w:tcW w:w="1518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057C7">
              <w:rPr>
                <w:rFonts w:ascii="Arial Narrow" w:hAnsi="Arial Narrow" w:cs="Arial"/>
                <w:b/>
              </w:rPr>
              <w:t>Balance Amount</w:t>
            </w:r>
          </w:p>
        </w:tc>
      </w:tr>
      <w:tr w:rsidR="00A118F8" w:rsidTr="00173127">
        <w:trPr>
          <w:trHeight w:val="341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Library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2020000</w:t>
            </w:r>
          </w:p>
        </w:tc>
        <w:tc>
          <w:tcPr>
            <w:tcW w:w="175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Nil</w:t>
            </w:r>
          </w:p>
        </w:tc>
        <w:tc>
          <w:tcPr>
            <w:tcW w:w="1518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A118F8" w:rsidTr="00173127">
        <w:trPr>
          <w:trHeight w:val="341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2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Academic Activities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1200000</w:t>
            </w:r>
          </w:p>
        </w:tc>
        <w:tc>
          <w:tcPr>
            <w:tcW w:w="175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899487</w:t>
            </w:r>
          </w:p>
        </w:tc>
        <w:tc>
          <w:tcPr>
            <w:tcW w:w="1518" w:type="dxa"/>
            <w:vAlign w:val="center"/>
          </w:tcPr>
          <w:p w:rsidR="00A118F8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300513</w:t>
            </w:r>
          </w:p>
        </w:tc>
      </w:tr>
      <w:tr w:rsidR="00A118F8" w:rsidTr="00173127">
        <w:trPr>
          <w:trHeight w:val="681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3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Construction and Annual Maintenance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1150000</w:t>
            </w:r>
          </w:p>
        </w:tc>
        <w:tc>
          <w:tcPr>
            <w:tcW w:w="175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1100000</w:t>
            </w:r>
          </w:p>
        </w:tc>
        <w:tc>
          <w:tcPr>
            <w:tcW w:w="1518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50000</w:t>
            </w:r>
          </w:p>
        </w:tc>
      </w:tr>
      <w:tr w:rsidR="00A118F8" w:rsidTr="00173127">
        <w:trPr>
          <w:trHeight w:val="681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4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Furniture / Educational Aids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300000</w:t>
            </w:r>
          </w:p>
        </w:tc>
        <w:tc>
          <w:tcPr>
            <w:tcW w:w="175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150000</w:t>
            </w:r>
          </w:p>
        </w:tc>
        <w:tc>
          <w:tcPr>
            <w:tcW w:w="1518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150000</w:t>
            </w:r>
          </w:p>
        </w:tc>
      </w:tr>
      <w:tr w:rsidR="00A118F8" w:rsidTr="00173127">
        <w:trPr>
          <w:trHeight w:val="700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5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Electronic Equipments / AMC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950000</w:t>
            </w:r>
          </w:p>
        </w:tc>
        <w:tc>
          <w:tcPr>
            <w:tcW w:w="1757" w:type="dxa"/>
            <w:vAlign w:val="center"/>
          </w:tcPr>
          <w:p w:rsidR="00A118F8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Nil</w:t>
            </w:r>
          </w:p>
        </w:tc>
        <w:tc>
          <w:tcPr>
            <w:tcW w:w="1518" w:type="dxa"/>
            <w:vAlign w:val="center"/>
          </w:tcPr>
          <w:p w:rsidR="00A118F8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950000</w:t>
            </w:r>
          </w:p>
        </w:tc>
      </w:tr>
      <w:tr w:rsidR="00A118F8" w:rsidTr="00173127">
        <w:trPr>
          <w:trHeight w:val="341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6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Broadband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600000</w:t>
            </w:r>
          </w:p>
        </w:tc>
        <w:tc>
          <w:tcPr>
            <w:tcW w:w="1757" w:type="dxa"/>
            <w:vAlign w:val="center"/>
          </w:tcPr>
          <w:p w:rsidR="00A118F8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Nil</w:t>
            </w:r>
          </w:p>
        </w:tc>
        <w:tc>
          <w:tcPr>
            <w:tcW w:w="1518" w:type="dxa"/>
            <w:vAlign w:val="center"/>
          </w:tcPr>
          <w:p w:rsidR="00A118F8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600000</w:t>
            </w:r>
          </w:p>
        </w:tc>
      </w:tr>
      <w:tr w:rsidR="00A118F8" w:rsidTr="00173127">
        <w:trPr>
          <w:trHeight w:val="341"/>
        </w:trPr>
        <w:tc>
          <w:tcPr>
            <w:tcW w:w="121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7</w:t>
            </w:r>
          </w:p>
        </w:tc>
        <w:tc>
          <w:tcPr>
            <w:tcW w:w="2576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Criminal Law Centre</w:t>
            </w:r>
          </w:p>
        </w:tc>
        <w:tc>
          <w:tcPr>
            <w:tcW w:w="1927" w:type="dxa"/>
            <w:vAlign w:val="center"/>
          </w:tcPr>
          <w:p w:rsidR="00A118F8" w:rsidRPr="000057C7" w:rsidRDefault="00A118F8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200000</w:t>
            </w:r>
          </w:p>
        </w:tc>
        <w:tc>
          <w:tcPr>
            <w:tcW w:w="1757" w:type="dxa"/>
            <w:vAlign w:val="center"/>
          </w:tcPr>
          <w:p w:rsidR="00A118F8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eastAsia="Times New Roman" w:hAnsi="Arial Narrow" w:cs="Times New Roman"/>
                <w:bCs/>
                <w:color w:val="000000"/>
              </w:rPr>
              <w:t>200000</w:t>
            </w:r>
          </w:p>
        </w:tc>
        <w:tc>
          <w:tcPr>
            <w:tcW w:w="1518" w:type="dxa"/>
            <w:vAlign w:val="center"/>
          </w:tcPr>
          <w:p w:rsidR="00A118F8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Nil</w:t>
            </w:r>
          </w:p>
        </w:tc>
      </w:tr>
      <w:tr w:rsidR="000057C7" w:rsidTr="00173127">
        <w:trPr>
          <w:trHeight w:val="341"/>
        </w:trPr>
        <w:tc>
          <w:tcPr>
            <w:tcW w:w="121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8</w:t>
            </w:r>
          </w:p>
        </w:tc>
        <w:tc>
          <w:tcPr>
            <w:tcW w:w="2576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CLGPS</w:t>
            </w:r>
            <w:proofErr w:type="spellEnd"/>
          </w:p>
        </w:tc>
        <w:tc>
          <w:tcPr>
            <w:tcW w:w="192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400000</w:t>
            </w:r>
          </w:p>
        </w:tc>
        <w:tc>
          <w:tcPr>
            <w:tcW w:w="175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Cs/>
                <w:color w:val="000000"/>
              </w:rPr>
              <w:t>400000</w:t>
            </w:r>
          </w:p>
        </w:tc>
        <w:tc>
          <w:tcPr>
            <w:tcW w:w="1518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Nil</w:t>
            </w:r>
          </w:p>
        </w:tc>
      </w:tr>
      <w:tr w:rsidR="000057C7" w:rsidTr="00173127">
        <w:trPr>
          <w:trHeight w:val="341"/>
        </w:trPr>
        <w:tc>
          <w:tcPr>
            <w:tcW w:w="121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9</w:t>
            </w:r>
          </w:p>
        </w:tc>
        <w:tc>
          <w:tcPr>
            <w:tcW w:w="2576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Medial Law Centre</w:t>
            </w:r>
          </w:p>
        </w:tc>
        <w:tc>
          <w:tcPr>
            <w:tcW w:w="192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400000</w:t>
            </w:r>
          </w:p>
        </w:tc>
        <w:tc>
          <w:tcPr>
            <w:tcW w:w="175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Cs/>
                <w:color w:val="000000"/>
              </w:rPr>
              <w:t>400000</w:t>
            </w:r>
          </w:p>
        </w:tc>
        <w:tc>
          <w:tcPr>
            <w:tcW w:w="1518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Nil</w:t>
            </w:r>
          </w:p>
        </w:tc>
      </w:tr>
      <w:tr w:rsidR="000057C7" w:rsidTr="00173127">
        <w:trPr>
          <w:trHeight w:val="341"/>
        </w:trPr>
        <w:tc>
          <w:tcPr>
            <w:tcW w:w="121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10</w:t>
            </w:r>
          </w:p>
        </w:tc>
        <w:tc>
          <w:tcPr>
            <w:tcW w:w="2576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Campus Cleaning</w:t>
            </w:r>
          </w:p>
        </w:tc>
        <w:tc>
          <w:tcPr>
            <w:tcW w:w="192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380000</w:t>
            </w:r>
          </w:p>
        </w:tc>
        <w:tc>
          <w:tcPr>
            <w:tcW w:w="175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150000</w:t>
            </w:r>
          </w:p>
        </w:tc>
        <w:tc>
          <w:tcPr>
            <w:tcW w:w="1518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230000</w:t>
            </w:r>
          </w:p>
        </w:tc>
      </w:tr>
      <w:tr w:rsidR="000057C7" w:rsidTr="00173127">
        <w:trPr>
          <w:trHeight w:val="360"/>
        </w:trPr>
        <w:tc>
          <w:tcPr>
            <w:tcW w:w="121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11</w:t>
            </w:r>
          </w:p>
        </w:tc>
        <w:tc>
          <w:tcPr>
            <w:tcW w:w="2576" w:type="dxa"/>
            <w:vAlign w:val="center"/>
          </w:tcPr>
          <w:p w:rsidR="000057C7" w:rsidRPr="000057C7" w:rsidRDefault="0017312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Unforeseen</w:t>
            </w:r>
            <w:r w:rsidR="000057C7"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Expenditures</w:t>
            </w:r>
          </w:p>
        </w:tc>
        <w:tc>
          <w:tcPr>
            <w:tcW w:w="192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057C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200000</w:t>
            </w:r>
          </w:p>
        </w:tc>
        <w:tc>
          <w:tcPr>
            <w:tcW w:w="1757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126000</w:t>
            </w:r>
          </w:p>
        </w:tc>
        <w:tc>
          <w:tcPr>
            <w:tcW w:w="1518" w:type="dxa"/>
            <w:vAlign w:val="center"/>
          </w:tcPr>
          <w:p w:rsidR="000057C7" w:rsidRPr="000057C7" w:rsidRDefault="000057C7" w:rsidP="0017312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0057C7">
              <w:rPr>
                <w:rFonts w:ascii="Arial Narrow" w:hAnsi="Arial Narrow" w:cs="Arial"/>
              </w:rPr>
              <w:t>74000</w:t>
            </w:r>
          </w:p>
        </w:tc>
      </w:tr>
    </w:tbl>
    <w:p w:rsidR="00A118F8" w:rsidRDefault="00A118F8" w:rsidP="0096291E">
      <w:pPr>
        <w:pStyle w:val="ListParagraph"/>
        <w:jc w:val="both"/>
        <w:rPr>
          <w:rFonts w:ascii="Arial" w:hAnsi="Arial" w:cs="Arial"/>
        </w:rPr>
      </w:pPr>
    </w:p>
    <w:p w:rsidR="000057C7" w:rsidRDefault="000057C7" w:rsidP="0096291E">
      <w:pPr>
        <w:pStyle w:val="ListParagraph"/>
        <w:jc w:val="both"/>
        <w:rPr>
          <w:rFonts w:ascii="Arial" w:hAnsi="Arial" w:cs="Arial"/>
        </w:rPr>
      </w:pPr>
    </w:p>
    <w:p w:rsidR="000057C7" w:rsidRDefault="000057C7" w:rsidP="0096291E">
      <w:pPr>
        <w:pStyle w:val="ListParagraph"/>
        <w:jc w:val="both"/>
        <w:rPr>
          <w:rFonts w:ascii="Arial" w:hAnsi="Arial" w:cs="Arial"/>
        </w:rPr>
      </w:pPr>
    </w:p>
    <w:p w:rsidR="000057C7" w:rsidRDefault="000057C7" w:rsidP="0096291E">
      <w:pPr>
        <w:pStyle w:val="ListParagraph"/>
        <w:jc w:val="both"/>
        <w:rPr>
          <w:rFonts w:ascii="Arial" w:hAnsi="Arial" w:cs="Arial"/>
        </w:rPr>
      </w:pPr>
    </w:p>
    <w:p w:rsidR="000057C7" w:rsidRPr="000057C7" w:rsidRDefault="000057C7" w:rsidP="0096291E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57C7">
        <w:rPr>
          <w:rFonts w:ascii="Arial" w:hAnsi="Arial" w:cs="Arial"/>
          <w:b/>
        </w:rPr>
        <w:t>PRINCIPAL</w:t>
      </w:r>
    </w:p>
    <w:sectPr w:rsidR="000057C7" w:rsidRPr="000057C7" w:rsidSect="004B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CF2"/>
    <w:multiLevelType w:val="hybridMultilevel"/>
    <w:tmpl w:val="628CEF3C"/>
    <w:lvl w:ilvl="0" w:tplc="AE06C446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F416D"/>
    <w:rsid w:val="000057C7"/>
    <w:rsid w:val="00173127"/>
    <w:rsid w:val="00252771"/>
    <w:rsid w:val="004B0279"/>
    <w:rsid w:val="007B79E1"/>
    <w:rsid w:val="00856AC9"/>
    <w:rsid w:val="00884595"/>
    <w:rsid w:val="0096291E"/>
    <w:rsid w:val="009F416D"/>
    <w:rsid w:val="00A118F8"/>
    <w:rsid w:val="00BD4317"/>
    <w:rsid w:val="00E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16D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9F41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cekm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cek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2FDB-18BE-4765-A312-B56C0C8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cp:lastPrinted>2020-01-09T07:08:00Z</cp:lastPrinted>
  <dcterms:created xsi:type="dcterms:W3CDTF">2020-01-09T06:21:00Z</dcterms:created>
  <dcterms:modified xsi:type="dcterms:W3CDTF">2020-01-09T07:17:00Z</dcterms:modified>
</cp:coreProperties>
</file>